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2：</w:t>
      </w:r>
    </w:p>
    <w:p>
      <w:pPr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ascii="仿宋" w:hAnsi="仿宋" w:eastAsia="仿宋"/>
          <w:b/>
          <w:sz w:val="32"/>
          <w:szCs w:val="30"/>
        </w:rPr>
        <w:t>2017攀枝花国际皮划艇马拉松赛</w:t>
      </w:r>
    </w:p>
    <w:p>
      <w:pPr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参赛运动员体检指导建议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一、体检的必要性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636270</wp:posOffset>
                </wp:positionV>
                <wp:extent cx="5067935" cy="2187575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2187575"/>
                        </a:xfrm>
                        <a:custGeom>
                          <a:avLst/>
                          <a:gdLst>
                            <a:gd name="T0" fmla="*/ 14077 w 14078"/>
                            <a:gd name="T1" fmla="*/ 0 h 6077"/>
                            <a:gd name="T2" fmla="*/ 14077 w 14078"/>
                            <a:gd name="T3" fmla="*/ 0 h 6077"/>
                            <a:gd name="T4" fmla="*/ 0 w 14078"/>
                            <a:gd name="T5" fmla="*/ 6076 h 6077"/>
                            <a:gd name="T6" fmla="*/ 0 w 14078"/>
                            <a:gd name="T7" fmla="*/ 6076 h 6077"/>
                            <a:gd name="T8" fmla="*/ 0 w 14078"/>
                            <a:gd name="T9" fmla="*/ 0 h 6077"/>
                            <a:gd name="T10" fmla="*/ 14078 w 14078"/>
                            <a:gd name="T11" fmla="*/ 6077 h 60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4078" h="6077">
                              <a:moveTo>
                                <a:pt x="14077" y="0"/>
                              </a:moveTo>
                              <a:lnTo>
                                <a:pt x="14077" y="0"/>
                              </a:lnTo>
                            </a:path>
                            <a:path w="14078" h="6077">
                              <a:moveTo>
                                <a:pt x="0" y="6076"/>
                              </a:moveTo>
                              <a:lnTo>
                                <a:pt x="0" y="6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o:spid="_x0000_s1026" o:spt="100" style="position:absolute;left:0pt;margin-left:-3.1pt;margin-top:50.1pt;height:172.25pt;width:399.05pt;z-index:251659264;mso-width-relative:page;mso-height-relative:page;" fillcolor="#FFFFFF" filled="t" stroked="t" coordsize="14078,6077" o:gfxdata="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dZRoV2QAAAAoBAAAPAAAAAAAAAAEAIAAAACIAAABkcnMvZG93bnJldi54bWxQSwEC&#10;FAAUAAAACACHTuJAt8FiuxADAADuBwAADgAAAAAAAAABACAAAAAoAQAAZHJzL2Uyb0RvYy54bWxQ&#10;SwUGAAAAAAYABgBZAQAAqgYAAAAA&#10;" path="m14077,0l14077,0em0,6076l0,6076e">
                <v:path o:connectlocs="5067575,0;5067575,0;0,2187215;0,2187215" o:connectangles="0,0,0,0"/>
                <v:fill on="t" focussize="0,0"/>
                <v:stroke color="#FF0000" joinstyle="round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w:t>（一）户外运动具有强度高、赛场环境不稳定等特点。对人体的刺激是剧烈和深重的，会不可避免地发生各种急性伤病，以心血管、呼吸、中枢神经、胃肠道和运动（骨和肌肉等）系统的刺激或损害为主，重者可危及生命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由于急性伤病具有不可预测性，因此对运动员全面身体检查、循症系统监控、积极防治伤病、建立健康档案等模式是非常重要和必要的。良好的身体状况是从事户外运动的基础，在伤病状况下进行户外运动，会增加运动员的健康安全风险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（三）为了最大程度地保障参赛运动员的健康安全，确立“超前预防”思想，特制定此体检指导意见。运动员未能按要求提供体检证明或检查结果不符合以下要求的，不得参赛。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二、综合要求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（一）赛前体检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运动员必须及时了解自身的健康和体能状况，并在赛前或最长不超过赛前一年的时间，自行到县级以上等级的医院进行体检。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（二）自我监控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赛前单次体检结果正常，仅仅表示选择的体检项目所反映的身体健康状况。由于体检方法及项目所限，并不能完全排除身体潜在的风险；由于“人身体状况的可变性”，更不能证明运动员完全有能力安全完成比赛。因此每位参赛运动员必须做到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1．赛前主动确保自身状况良好，没有感冒、发热、病毒性或细菌性扁桃体炎、其它急慢性伤病等。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2．赛前或赛中出现身体异常症状，应主动退出比赛，及时告知比赛组委会，尽快就医。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三、体检项目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以下体检项目是根据户外运动中的常见急性伤病所设，其中第（一）至（三）项为必检项目，比赛组委会将在赛前对其进行审查。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（一）内外科一般检查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重点询问和甄别参赛运动员有无以下情况：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1．心血管系统疾病，如高血压、瓣膜病、冠心病、心肌病；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2．中枢神经系统疾病，如癫痫、严重神经衰弱综合征；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3．猝死等家族史；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4．运动性应激性或急性伤病的既往史；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5．呼吸系统疾病，如过敏性支气管哮喘、急或慢性呼吸道感染；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6．胃肠道疾病，如消化道溃疡活动期。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（二）血压检查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1．50岁以下的运动员：收缩压≤130mmHg（17.3KPa），舒张压≤85mmHg（11.3KPa）；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2．50岁以上（包括50岁）的运动员：收缩压≤140mmHg（18.6KPa），舒张压≤90mmHg（12KPa）。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（三）心电图检查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心电图报告须附医师诊断意见，评估标准如下：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1．正常心电图（经医院确诊无明显异常）：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（1）窦性心律；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（2）成人心率40～100次/分（专业运动员心率可低于40次/分）。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2．不符合参赛条件的异常心电图包括但不限于：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（1）窦性心动过速，成人心率＞100次/分；室性心动过速；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（2）频发的窦性心律不齐；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（3）窦性停搏；房性、交界性、室性期前收缩或逸搏；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（4）病态窦房结综合症；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（5）Ⅱ度及以上的窦房、房室传导、左束支传导等阻滞；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（6）预激综合征；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（8）其他心电图异常，如房颤。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（四）“血生化全项”（可酌情加做）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判断肝肾功能，血糖血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脂、血清离子、心肌酶谱等的情况。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（五）“彩色超声心动图”（可酌情加做）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判断心室、心房、瓣膜、心肌及其运动（收缩能力和顺应性）、射血分数及心输出量等的情况，规避心脏结构紊乱。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F2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